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Bressay" w:cs="Bressay" w:eastAsia="Bressay" w:hAnsi="Bressay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jc w:val="center"/>
        <w:rPr>
          <w:i w:val="1"/>
          <w:color w:val="222222"/>
          <w:sz w:val="28"/>
          <w:szCs w:val="28"/>
        </w:rPr>
      </w:pPr>
      <w:r w:rsidDel="00000000" w:rsidR="00000000" w:rsidRPr="00000000">
        <w:rPr>
          <w:b w:val="1"/>
          <w:color w:val="222222"/>
          <w:sz w:val="36"/>
          <w:szCs w:val="36"/>
          <w:rtl w:val="0"/>
        </w:rPr>
        <w:t xml:space="preserve">CDP Venture Capital Sgr – Fondo Nazionale Innovazione investe 8 milioni di euro con il programma AccelerORA!</w:t>
        <w:br w:type="textWrapping"/>
        <w:br w:type="textWrapping"/>
      </w:r>
      <w:r w:rsidDel="00000000" w:rsidR="00000000" w:rsidRPr="00000000">
        <w:rPr>
          <w:i w:val="1"/>
          <w:color w:val="222222"/>
          <w:sz w:val="28"/>
          <w:szCs w:val="28"/>
          <w:rtl w:val="0"/>
        </w:rPr>
        <w:t xml:space="preserve">L’operazione ha permesso di attrarre ulteriori 14 milioni di euro da investitori privati per un totale di 22 milioni </w:t>
      </w:r>
    </w:p>
    <w:p w:rsidR="00000000" w:rsidDel="00000000" w:rsidP="00000000" w:rsidRDefault="00000000" w:rsidRPr="00000000" w14:paraId="00000003">
      <w:pPr>
        <w:shd w:fill="ffffff" w:val="clear"/>
        <w:rPr>
          <w:b w:val="1"/>
          <w:color w:val="222222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Roma, 10 agosto 2020 - </w:t>
      </w:r>
      <w:r w:rsidDel="00000000" w:rsidR="00000000" w:rsidRPr="00000000">
        <w:rPr>
          <w:b w:val="1"/>
          <w:color w:val="222222"/>
          <w:rtl w:val="0"/>
        </w:rPr>
        <w:t xml:space="preserve">CDP Venture Capital SGR - Fondo Nazionale Innovazione </w:t>
      </w:r>
      <w:r w:rsidDel="00000000" w:rsidR="00000000" w:rsidRPr="00000000">
        <w:rPr>
          <w:color w:val="222222"/>
          <w:rtl w:val="0"/>
        </w:rPr>
        <w:t xml:space="preserve">ha deliberato un investimento complessivo di </w:t>
      </w:r>
      <w:r w:rsidDel="00000000" w:rsidR="00000000" w:rsidRPr="00000000">
        <w:rPr>
          <w:b w:val="1"/>
          <w:color w:val="222222"/>
          <w:rtl w:val="0"/>
        </w:rPr>
        <w:t xml:space="preserve">8 milioni di euro</w:t>
      </w:r>
      <w:r w:rsidDel="00000000" w:rsidR="00000000" w:rsidRPr="00000000">
        <w:rPr>
          <w:color w:val="222222"/>
          <w:rtl w:val="0"/>
        </w:rPr>
        <w:t xml:space="preserve"> a favore di </w:t>
      </w:r>
      <w:r w:rsidDel="00000000" w:rsidR="00000000" w:rsidRPr="00000000">
        <w:rPr>
          <w:b w:val="1"/>
          <w:color w:val="222222"/>
          <w:rtl w:val="0"/>
        </w:rPr>
        <w:t xml:space="preserve">50 startup </w:t>
      </w:r>
      <w:r w:rsidDel="00000000" w:rsidR="00000000" w:rsidRPr="00000000">
        <w:rPr>
          <w:color w:val="222222"/>
          <w:rtl w:val="0"/>
        </w:rPr>
        <w:t xml:space="preserve">nell’ambito del programma </w:t>
      </w:r>
      <w:r w:rsidDel="00000000" w:rsidR="00000000" w:rsidRPr="00000000">
        <w:rPr>
          <w:b w:val="1"/>
          <w:color w:val="222222"/>
          <w:rtl w:val="0"/>
        </w:rPr>
        <w:t xml:space="preserve">AccelerORA!</w:t>
      </w:r>
      <w:r w:rsidDel="00000000" w:rsidR="00000000" w:rsidRPr="00000000">
        <w:rPr>
          <w:color w:val="222222"/>
          <w:rtl w:val="0"/>
        </w:rPr>
        <w:t xml:space="preserve">, realizzato tramite il </w:t>
      </w:r>
      <w:r w:rsidDel="00000000" w:rsidR="00000000" w:rsidRPr="00000000">
        <w:rPr>
          <w:b w:val="1"/>
          <w:color w:val="222222"/>
          <w:rtl w:val="0"/>
        </w:rPr>
        <w:t xml:space="preserve">Fondo Acceleratori, </w:t>
      </w:r>
      <w:r w:rsidDel="00000000" w:rsidR="00000000" w:rsidRPr="00000000">
        <w:rPr>
          <w:color w:val="222222"/>
          <w:rtl w:val="0"/>
        </w:rPr>
        <w:t xml:space="preserve">per sostenere rapidamente le startup innovative meritevoli in fase seed e pre-seed che stanno affrontando le sfide di Covid-19.</w:t>
      </w:r>
    </w:p>
    <w:p w:rsidR="00000000" w:rsidDel="00000000" w:rsidP="00000000" w:rsidRDefault="00000000" w:rsidRPr="00000000" w14:paraId="00000005">
      <w:pPr>
        <w:shd w:fill="ffffff" w:val="clear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Gli investimenti saranno gestiti dal Fondo Acceleratori e diverse operazioni localizzate nel Sud d’Italia sono in coinvestimento con il Fondo Italia Venture II. Il programma, in partnership con </w:t>
      </w:r>
      <w:r w:rsidDel="00000000" w:rsidR="00000000" w:rsidRPr="00000000">
        <w:rPr>
          <w:b w:val="1"/>
          <w:color w:val="222222"/>
          <w:rtl w:val="0"/>
        </w:rPr>
        <w:t xml:space="preserve">6 primari acceleratori nazionali</w:t>
      </w:r>
      <w:r w:rsidDel="00000000" w:rsidR="00000000" w:rsidRPr="00000000">
        <w:rPr>
          <w:color w:val="222222"/>
          <w:rtl w:val="0"/>
        </w:rPr>
        <w:t xml:space="preserve">, è stato in grado di generare un effetto attrattivo di investimenti per un totale di </w:t>
      </w:r>
      <w:r w:rsidDel="00000000" w:rsidR="00000000" w:rsidRPr="00000000">
        <w:rPr>
          <w:b w:val="1"/>
          <w:color w:val="222222"/>
          <w:rtl w:val="0"/>
        </w:rPr>
        <w:t xml:space="preserve">oltre 22 milioni di euro</w:t>
      </w:r>
      <w:r w:rsidDel="00000000" w:rsidR="00000000" w:rsidRPr="00000000">
        <w:rPr>
          <w:color w:val="222222"/>
          <w:rtl w:val="0"/>
        </w:rPr>
        <w:t xml:space="preserve"> (incluso quanto investito dal Fondo Acceleratori) destinati a startup operative negli ambiti: </w:t>
      </w:r>
      <w:r w:rsidDel="00000000" w:rsidR="00000000" w:rsidRPr="00000000">
        <w:rPr>
          <w:b w:val="1"/>
          <w:color w:val="222222"/>
          <w:rtl w:val="0"/>
        </w:rPr>
        <w:t xml:space="preserve">Fashion</w:t>
      </w:r>
      <w:r w:rsidDel="00000000" w:rsidR="00000000" w:rsidRPr="00000000">
        <w:rPr>
          <w:color w:val="222222"/>
          <w:rtl w:val="0"/>
        </w:rPr>
        <w:t xml:space="preserve">, </w:t>
      </w:r>
      <w:r w:rsidDel="00000000" w:rsidR="00000000" w:rsidRPr="00000000">
        <w:rPr>
          <w:b w:val="1"/>
          <w:color w:val="222222"/>
          <w:rtl w:val="0"/>
        </w:rPr>
        <w:t xml:space="preserve">AgriTech</w:t>
      </w:r>
      <w:r w:rsidDel="00000000" w:rsidR="00000000" w:rsidRPr="00000000">
        <w:rPr>
          <w:color w:val="222222"/>
          <w:rtl w:val="0"/>
        </w:rPr>
        <w:t xml:space="preserve">, </w:t>
      </w:r>
      <w:r w:rsidDel="00000000" w:rsidR="00000000" w:rsidRPr="00000000">
        <w:rPr>
          <w:b w:val="1"/>
          <w:color w:val="222222"/>
          <w:rtl w:val="0"/>
        </w:rPr>
        <w:t xml:space="preserve">MedTech</w:t>
      </w:r>
      <w:r w:rsidDel="00000000" w:rsidR="00000000" w:rsidRPr="00000000">
        <w:rPr>
          <w:color w:val="222222"/>
          <w:rtl w:val="0"/>
        </w:rPr>
        <w:t xml:space="preserve">, </w:t>
      </w:r>
      <w:r w:rsidDel="00000000" w:rsidR="00000000" w:rsidRPr="00000000">
        <w:rPr>
          <w:b w:val="1"/>
          <w:color w:val="222222"/>
          <w:rtl w:val="0"/>
        </w:rPr>
        <w:t xml:space="preserve">eCommerce</w:t>
      </w:r>
      <w:r w:rsidDel="00000000" w:rsidR="00000000" w:rsidRPr="00000000">
        <w:rPr>
          <w:color w:val="222222"/>
          <w:rtl w:val="0"/>
        </w:rPr>
        <w:t xml:space="preserve">, </w:t>
      </w:r>
      <w:r w:rsidDel="00000000" w:rsidR="00000000" w:rsidRPr="00000000">
        <w:rPr>
          <w:b w:val="1"/>
          <w:color w:val="222222"/>
          <w:rtl w:val="0"/>
        </w:rPr>
        <w:t xml:space="preserve">Education</w:t>
      </w:r>
      <w:r w:rsidDel="00000000" w:rsidR="00000000" w:rsidRPr="00000000">
        <w:rPr>
          <w:color w:val="222222"/>
          <w:rtl w:val="0"/>
        </w:rPr>
        <w:t xml:space="preserve">, </w:t>
      </w:r>
      <w:r w:rsidDel="00000000" w:rsidR="00000000" w:rsidRPr="00000000">
        <w:rPr>
          <w:b w:val="1"/>
          <w:color w:val="222222"/>
          <w:rtl w:val="0"/>
        </w:rPr>
        <w:t xml:space="preserve">FinTech</w:t>
      </w:r>
      <w:r w:rsidDel="00000000" w:rsidR="00000000" w:rsidRPr="00000000">
        <w:rPr>
          <w:color w:val="222222"/>
          <w:rtl w:val="0"/>
        </w:rPr>
        <w:t xml:space="preserve">, </w:t>
      </w:r>
      <w:r w:rsidDel="00000000" w:rsidR="00000000" w:rsidRPr="00000000">
        <w:rPr>
          <w:b w:val="1"/>
          <w:color w:val="222222"/>
          <w:rtl w:val="0"/>
        </w:rPr>
        <w:t xml:space="preserve">Software b2b</w:t>
      </w:r>
      <w:r w:rsidDel="00000000" w:rsidR="00000000" w:rsidRPr="00000000">
        <w:rPr>
          <w:color w:val="222222"/>
          <w:rtl w:val="0"/>
        </w:rPr>
        <w:t xml:space="preserve">, </w:t>
      </w:r>
      <w:r w:rsidDel="00000000" w:rsidR="00000000" w:rsidRPr="00000000">
        <w:rPr>
          <w:b w:val="1"/>
          <w:color w:val="222222"/>
          <w:rtl w:val="0"/>
        </w:rPr>
        <w:t xml:space="preserve">SaaS</w:t>
      </w:r>
      <w:r w:rsidDel="00000000" w:rsidR="00000000" w:rsidRPr="00000000">
        <w:rPr>
          <w:color w:val="222222"/>
          <w:rtl w:val="0"/>
        </w:rPr>
        <w:t xml:space="preserve"> e </w:t>
      </w:r>
      <w:r w:rsidDel="00000000" w:rsidR="00000000" w:rsidRPr="00000000">
        <w:rPr>
          <w:b w:val="1"/>
          <w:color w:val="222222"/>
          <w:rtl w:val="0"/>
        </w:rPr>
        <w:t xml:space="preserve">Digital Community</w:t>
      </w:r>
      <w:r w:rsidDel="00000000" w:rsidR="00000000" w:rsidRPr="00000000">
        <w:rPr>
          <w:color w:val="222222"/>
          <w:rtl w:val="0"/>
        </w:rPr>
        <w:t xml:space="preserve">. </w:t>
      </w:r>
    </w:p>
    <w:p w:rsidR="00000000" w:rsidDel="00000000" w:rsidP="00000000" w:rsidRDefault="00000000" w:rsidRPr="00000000" w14:paraId="00000007">
      <w:pPr>
        <w:shd w:fill="ffffff" w:val="clear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jc w:val="both"/>
        <w:rPr>
          <w:i w:val="1"/>
          <w:color w:val="222222"/>
        </w:rPr>
      </w:pPr>
      <w:r w:rsidDel="00000000" w:rsidR="00000000" w:rsidRPr="00000000">
        <w:rPr>
          <w:color w:val="222222"/>
          <w:rtl w:val="0"/>
        </w:rPr>
        <w:t xml:space="preserve">“</w:t>
      </w:r>
      <w:r w:rsidDel="00000000" w:rsidR="00000000" w:rsidRPr="00000000">
        <w:rPr>
          <w:i w:val="1"/>
          <w:color w:val="222222"/>
          <w:rtl w:val="0"/>
        </w:rPr>
        <w:t xml:space="preserve">Il risultato di AccelerORA! ci rende orgogliosi, non solo per essere riusciti ad aiutare realtà promettenti e meritevoli in una fase di difficoltà a seguito dell’emergenza Covid-19, ma anche per aver generato, grazie alla credibilità dell’investimento di un attore istituzionale, l’incremento della capacità di fund raising delle società.</w:t>
      </w:r>
      <w:r w:rsidDel="00000000" w:rsidR="00000000" w:rsidRPr="00000000">
        <w:rPr>
          <w:color w:val="222222"/>
          <w:rtl w:val="0"/>
        </w:rPr>
        <w:t xml:space="preserve">” Commenta </w:t>
      </w:r>
      <w:r w:rsidDel="00000000" w:rsidR="00000000" w:rsidRPr="00000000">
        <w:rPr>
          <w:b w:val="1"/>
          <w:color w:val="222222"/>
          <w:rtl w:val="0"/>
        </w:rPr>
        <w:t xml:space="preserve">Enrico Resmini, amministratore delegato e direttore generale di CDP Venture Capital SGR</w:t>
      </w:r>
      <w:r w:rsidDel="00000000" w:rsidR="00000000" w:rsidRPr="00000000">
        <w:rPr>
          <w:color w:val="222222"/>
          <w:rtl w:val="0"/>
        </w:rPr>
        <w:t xml:space="preserve">, che conclude: “</w:t>
      </w:r>
      <w:r w:rsidDel="00000000" w:rsidR="00000000" w:rsidRPr="00000000">
        <w:rPr>
          <w:i w:val="1"/>
          <w:color w:val="222222"/>
          <w:rtl w:val="0"/>
        </w:rPr>
        <w:t xml:space="preserve">Questo risultato va nella direzione di rendere il Venture Capital un asse portante dello sviluppo economico e dell’innovazione del Paese, creando i presupposti per una crescita complessiva e sostenibile dell’intero ecosistema.”</w:t>
      </w:r>
    </w:p>
    <w:p w:rsidR="00000000" w:rsidDel="00000000" w:rsidP="00000000" w:rsidRDefault="00000000" w:rsidRPr="00000000" w14:paraId="00000009">
      <w:pPr>
        <w:shd w:fill="ffffff" w:val="clear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jc w:val="both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AccelerORA! lavora in partnership con i principali acceleratori nazionali attivi in Italia che hanno una comprovata esperienza nello sviluppo del portafoglio delle loro startup e di programmi di accelerazione verticali, con l’obiettivo di supportare le realtà che si trovano nelle fasi iniziali del ciclo di vita per aiutarle a crescere e accompagnarle nella raccolta di ulteriori round di investimento. Le operazioni vengono effettuate da acceleratori, investitori terzi o soci in matching grant rispetto ai capitali investiti dal Fondo Acceleratori. Ciascuna startup potrà essere finanziata con un massimo di 300.000 euro.</w:t>
      </w:r>
    </w:p>
    <w:p w:rsidR="00000000" w:rsidDel="00000000" w:rsidP="00000000" w:rsidRDefault="00000000" w:rsidRPr="00000000" w14:paraId="0000000B">
      <w:pPr>
        <w:shd w:fill="ffffff" w:val="clear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200" w:before="200" w:lineRule="auto"/>
        <w:jc w:val="center"/>
        <w:rPr/>
      </w:pPr>
      <w:r w:rsidDel="00000000" w:rsidR="00000000" w:rsidRPr="00000000">
        <w:rPr>
          <w:rtl w:val="0"/>
        </w:rPr>
        <w:t xml:space="preserve">***</w:t>
      </w:r>
    </w:p>
    <w:p w:rsidR="00000000" w:rsidDel="00000000" w:rsidP="00000000" w:rsidRDefault="00000000" w:rsidRPr="00000000" w14:paraId="0000000F">
      <w:pPr>
        <w:shd w:fill="ffffff" w:val="clear"/>
        <w:spacing w:after="200" w:before="20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200" w:before="20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CDP Venture Capital SGR – Fondo Nazionale Innovazione</w:t>
      </w:r>
    </w:p>
    <w:p w:rsidR="00000000" w:rsidDel="00000000" w:rsidP="00000000" w:rsidRDefault="00000000" w:rsidRPr="00000000" w14:paraId="00000011">
      <w:pPr>
        <w:shd w:fill="ffffff" w:val="clear"/>
        <w:spacing w:after="200" w:before="20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CDP Venture Capital è una SGR (70% di CDP Equity e 30% di Invitalia) con circa 1 miliardo di euro di risorse in gestione. Ha l’obiettivo di rendere il Venture Capital un asse portante dello sviluppo economico e dell’innovazione del Paese, creando i presupposti per una crescita complessiva e sostenibile dell’ecosistema Venture Capital. Opera con una serie di fondi che ambiscono a supportare le startup in tutte le loro fase di vita, realizzando investimenti sia diretti che indiretti.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200" w:before="20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Contatti</w:t>
      </w:r>
    </w:p>
    <w:p w:rsidR="00000000" w:rsidDel="00000000" w:rsidP="00000000" w:rsidRDefault="00000000" w:rsidRPr="00000000" w14:paraId="00000013">
      <w:pPr>
        <w:shd w:fill="ffffff" w:val="clear"/>
        <w:spacing w:after="200" w:before="20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Direzione Comunicazione CDP Venture Capital SGR - Fondo Nazionale Innovazione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Riccardo Corsini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| </w:t>
      </w:r>
      <w:hyperlink r:id="rId6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riccardo.corsini@cdpventurecapital.it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after="200" w:before="20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Media Relations CDP Venture Capital SGR - Fondo Nazionale Innovazione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Alessandra Acutis | </w:t>
      </w:r>
      <w:hyperlink r:id="rId7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alessandra.acutis@cdpventurecapital.it</w:t>
        </w:r>
      </w:hyperlink>
      <w:r w:rsidDel="00000000" w:rsidR="00000000" w:rsidRPr="00000000">
        <w:rPr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| 348 8328308</w:t>
      </w:r>
    </w:p>
    <w:p w:rsidR="00000000" w:rsidDel="00000000" w:rsidP="00000000" w:rsidRDefault="00000000" w:rsidRPr="00000000" w14:paraId="00000015">
      <w:pPr>
        <w:shd w:fill="ffffff" w:val="clear"/>
        <w:spacing w:after="200" w:before="200" w:lineRule="auto"/>
        <w:rPr>
          <w:color w:val="222222"/>
        </w:rPr>
      </w:pPr>
      <w:bookmarkStart w:colFirst="0" w:colLast="0" w:name="_30j0zll" w:id="1"/>
      <w:bookmarkEnd w:id="1"/>
      <w:r w:rsidDel="00000000" w:rsidR="00000000" w:rsidRPr="00000000">
        <w:rPr>
          <w:b w:val="1"/>
          <w:sz w:val="20"/>
          <w:szCs w:val="20"/>
          <w:rtl w:val="0"/>
        </w:rPr>
        <w:t xml:space="preserve">Press Office CDP Venture Capital SGR - Fondo Nazionale Innovazione</w:t>
        <w:br w:type="textWrapping"/>
      </w:r>
      <w:r w:rsidDel="00000000" w:rsidR="00000000" w:rsidRPr="00000000">
        <w:rPr>
          <w:sz w:val="20"/>
          <w:szCs w:val="20"/>
          <w:rtl w:val="0"/>
        </w:rPr>
        <w:t xml:space="preserve">Mirandola Comunicazione</w:t>
      </w:r>
      <w:r w:rsidDel="00000000" w:rsidR="00000000" w:rsidRPr="00000000">
        <w:rPr>
          <w:b w:val="1"/>
          <w:sz w:val="20"/>
          <w:szCs w:val="20"/>
          <w:rtl w:val="0"/>
        </w:rPr>
        <w:br w:type="textWrapping"/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cdpvc@mirandola.net</w:t>
        </w:r>
      </w:hyperlink>
      <w:r w:rsidDel="00000000" w:rsidR="00000000" w:rsidRPr="00000000">
        <w:rPr>
          <w:sz w:val="20"/>
          <w:szCs w:val="20"/>
          <w:rtl w:val="0"/>
        </w:rPr>
        <w:br w:type="textWrapping"/>
        <w:t xml:space="preserve">Alessandra Fulgoni | </w:t>
      </w:r>
      <w:hyperlink r:id="rId9">
        <w:r w:rsidDel="00000000" w:rsidR="00000000" w:rsidRPr="00000000">
          <w:rPr>
            <w:sz w:val="20"/>
            <w:szCs w:val="20"/>
            <w:rtl w:val="0"/>
          </w:rPr>
          <w:t xml:space="preserve">alessandra@mirandola.net</w:t>
        </w:r>
      </w:hyperlink>
      <w:r w:rsidDel="00000000" w:rsidR="00000000" w:rsidRPr="00000000">
        <w:rPr>
          <w:sz w:val="20"/>
          <w:szCs w:val="20"/>
          <w:rtl w:val="0"/>
        </w:rPr>
        <w:t xml:space="preserve"> | 349 4122999</w:t>
        <w:br w:type="textWrapping"/>
        <w:t xml:space="preserve">Simona Miele| </w:t>
      </w:r>
      <w:hyperlink r:id="rId10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simona.miele@mirandola.net</w:t>
        </w:r>
      </w:hyperlink>
      <w:r w:rsidDel="00000000" w:rsidR="00000000" w:rsidRPr="00000000">
        <w:rPr>
          <w:sz w:val="20"/>
          <w:szCs w:val="20"/>
          <w:rtl w:val="0"/>
        </w:rPr>
        <w:t xml:space="preserve"> | 348 2509895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jc w:val="both"/>
        <w:rPr>
          <w:color w:val="222222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ressa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tabs>
        <w:tab w:val="center" w:pos="4819"/>
        <w:tab w:val="right" w:pos="9638"/>
      </w:tabs>
      <w:spacing w:line="240" w:lineRule="auto"/>
      <w:jc w:val="center"/>
      <w:rPr/>
    </w:pPr>
    <w:r w:rsidDel="00000000" w:rsidR="00000000" w:rsidRPr="00000000">
      <w:rPr/>
      <w:drawing>
        <wp:inline distB="0" distT="0" distL="0" distR="0">
          <wp:extent cx="3889955" cy="469173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89955" cy="46917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819"/>
        <w:tab w:val="right" w:pos="9638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mailto:%20simona.miele@mirandola.net" TargetMode="External"/><Relationship Id="rId13" Type="http://schemas.openxmlformats.org/officeDocument/2006/relationships/header" Target="header2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lessandra@mirandola.net" TargetMode="External"/><Relationship Id="rId15" Type="http://schemas.openxmlformats.org/officeDocument/2006/relationships/footer" Target="footer2.xml"/><Relationship Id="rId14" Type="http://schemas.openxmlformats.org/officeDocument/2006/relationships/footer" Target="footer3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riccardo.corsini@cdpventurecapital.it" TargetMode="External"/><Relationship Id="rId7" Type="http://schemas.openxmlformats.org/officeDocument/2006/relationships/hyperlink" Target="mailto:alessandra.acutis@cdpventurecapital.it" TargetMode="External"/><Relationship Id="rId8" Type="http://schemas.openxmlformats.org/officeDocument/2006/relationships/hyperlink" Target="mailto:cdpvc@mirandola.ne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